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387C" w14:textId="60F6CBB6" w:rsidR="005962D4" w:rsidRDefault="00B56B96" w:rsidP="00B56B96">
      <w:pPr>
        <w:jc w:val="center"/>
      </w:pPr>
      <w:r w:rsidRPr="00B56B96">
        <w:rPr>
          <w:noProof/>
        </w:rPr>
        <w:drawing>
          <wp:inline distT="0" distB="0" distL="0" distR="0" wp14:anchorId="10D907FA" wp14:editId="21EA0A2F">
            <wp:extent cx="1333500" cy="1152525"/>
            <wp:effectExtent l="0" t="0" r="0" b="9525"/>
            <wp:docPr id="20934066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DE83" w14:textId="77777777" w:rsidR="00B56B96" w:rsidRDefault="00B56B96" w:rsidP="00B56B96">
      <w:pPr>
        <w:pStyle w:val="Default"/>
      </w:pPr>
    </w:p>
    <w:p w14:paraId="04712A6D" w14:textId="7577938C" w:rsidR="00B56B96" w:rsidRDefault="00B56B96" w:rsidP="00B56B96">
      <w:pPr>
        <w:pStyle w:val="Default"/>
        <w:jc w:val="center"/>
        <w:rPr>
          <w:color w:val="006EC0"/>
          <w:sz w:val="40"/>
          <w:szCs w:val="40"/>
        </w:rPr>
      </w:pPr>
      <w:r>
        <w:rPr>
          <w:b/>
          <w:bCs/>
          <w:color w:val="006EC0"/>
          <w:sz w:val="40"/>
          <w:szCs w:val="40"/>
        </w:rPr>
        <w:t>C I T TA’ di O R I A</w:t>
      </w:r>
    </w:p>
    <w:p w14:paraId="04753B1E" w14:textId="07644F55" w:rsidR="00B56B96" w:rsidRDefault="00B56B96" w:rsidP="00B56B9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(Provincia di Brindisi)</w:t>
      </w:r>
    </w:p>
    <w:p w14:paraId="2069A51F" w14:textId="2E4431E4" w:rsidR="00B56B96" w:rsidRDefault="00B56B96" w:rsidP="00B56B9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 SETTORE</w:t>
      </w:r>
    </w:p>
    <w:p w14:paraId="0FF06B15" w14:textId="093AD2A5" w:rsidR="00B56B96" w:rsidRDefault="00B56B96" w:rsidP="00B56B9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SERVIZIO ATTIVITA’ PRODUTTIVE E SUAP</w:t>
      </w:r>
    </w:p>
    <w:p w14:paraId="1548CFC9" w14:textId="30AFBD1D" w:rsidR="00B56B96" w:rsidRDefault="00B56B96" w:rsidP="00B56B96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VIA EPITAFFIO – 72024 ORIA</w:t>
      </w:r>
    </w:p>
    <w:p w14:paraId="2C7DE65B" w14:textId="25580C9E" w:rsidR="005962D4" w:rsidRDefault="00B56B96" w:rsidP="00B56B96">
      <w:pPr>
        <w:jc w:val="center"/>
      </w:pPr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 xml:space="preserve">: </w:t>
      </w:r>
      <w:proofErr w:type="spellStart"/>
      <w:proofErr w:type="gramStart"/>
      <w:r>
        <w:rPr>
          <w:color w:val="0462C1"/>
          <w:sz w:val="18"/>
          <w:szCs w:val="18"/>
        </w:rPr>
        <w:t>protocollo.comune.oria@pec.rupar.puglia,it</w:t>
      </w:r>
      <w:proofErr w:type="spellEnd"/>
      <w:proofErr w:type="gramEnd"/>
    </w:p>
    <w:p w14:paraId="4F6494EA" w14:textId="08FC8033" w:rsidR="007B5F61" w:rsidRPr="005F7765" w:rsidRDefault="00B56B96" w:rsidP="00DE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610C43" w14:textId="30E55EF3" w:rsidR="00DE4202" w:rsidRPr="00DE4202" w:rsidRDefault="00B57E72" w:rsidP="00B57E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-Bold" w:hAnsi="Times-Bold" w:cs="Times-Bold"/>
          <w:b/>
          <w:bCs/>
          <w:sz w:val="32"/>
          <w:szCs w:val="32"/>
        </w:rPr>
        <w:t>AVVISO PUBBLICO</w:t>
      </w:r>
    </w:p>
    <w:p w14:paraId="73202C9F" w14:textId="77777777" w:rsidR="00DE4202" w:rsidRPr="00DE4202" w:rsidRDefault="00DE4202" w:rsidP="00DE42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5CCF24" w14:textId="442A97A5" w:rsidR="00DE4202" w:rsidRDefault="00DE4202" w:rsidP="00DE4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42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</w:t>
      </w:r>
      <w:r w:rsidR="00B57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RESPONSABILE DI SETTORE</w:t>
      </w:r>
    </w:p>
    <w:p w14:paraId="4CC7B06D" w14:textId="77777777" w:rsidR="00DC4D45" w:rsidRDefault="00DC4D45" w:rsidP="00DE4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E11F788" w14:textId="77777777" w:rsidR="00DC4D45" w:rsidRDefault="00DC4D45" w:rsidP="00DE4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D755BAE" w14:textId="7F341D70" w:rsidR="00DC4D45" w:rsidRPr="00DC4D45" w:rsidRDefault="00DC4D45" w:rsidP="00DC4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4D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VISTO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il D.</w:t>
      </w:r>
      <w:r w:rsidR="009F3F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Lgs. 31/03/1998, n. 114;</w:t>
      </w:r>
    </w:p>
    <w:p w14:paraId="6A4AD0E4" w14:textId="77777777" w:rsidR="00DC4D45" w:rsidRPr="00DC4D45" w:rsidRDefault="00DC4D45" w:rsidP="00DC4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4D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VISTA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la Circolare Ministeriale n. 3506 del 16/02/2001;</w:t>
      </w:r>
    </w:p>
    <w:p w14:paraId="570ECB0F" w14:textId="0D5A4BE6" w:rsidR="00DC4D45" w:rsidRPr="00DC4D45" w:rsidRDefault="00DC4D45" w:rsidP="00DC4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4D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VISTO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il D.</w:t>
      </w:r>
      <w:r w:rsidR="009F3F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Lgs. n. 59/2010 e </w:t>
      </w:r>
      <w:proofErr w:type="spellStart"/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ss.mm.ii</w:t>
      </w:r>
      <w:proofErr w:type="spellEnd"/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.;</w:t>
      </w:r>
    </w:p>
    <w:p w14:paraId="6930BBC4" w14:textId="77777777" w:rsidR="00DC4D45" w:rsidRPr="00DC4D45" w:rsidRDefault="00DC4D45" w:rsidP="00DC4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4D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VISTA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la L.R. Puglia n. 24/2015 (Codice del Commercio) e successive modifiche (L.R. 12/2018);</w:t>
      </w:r>
    </w:p>
    <w:p w14:paraId="5A03BC6B" w14:textId="77777777" w:rsidR="00DC4D45" w:rsidRPr="00DC4D45" w:rsidRDefault="00DC4D45" w:rsidP="00DC4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C4D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VISTI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i Regolamenti Regionali n. 4/2017, n. 11/2018 e n. 11/2019;</w:t>
      </w:r>
    </w:p>
    <w:p w14:paraId="71AA8540" w14:textId="77777777" w:rsidR="00DC4D45" w:rsidRDefault="00DC4D45" w:rsidP="00DC4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4D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VISTO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il "Documento Strategico del Commercio" e il Regolamento Comunale per il Commercio su Aree Pubbliche approvato con Delibera di C.C. n. 12 del 29/03/2023;</w:t>
      </w:r>
    </w:p>
    <w:p w14:paraId="46E92FB5" w14:textId="1B027650" w:rsidR="00DC4D45" w:rsidRPr="00DC4D45" w:rsidRDefault="00DC4D45" w:rsidP="00DC4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3C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VISTA </w:t>
      </w:r>
      <w:r w:rsidRPr="007D3C87">
        <w:rPr>
          <w:rFonts w:ascii="Times New Roman" w:eastAsia="Times New Roman" w:hAnsi="Times New Roman" w:cs="Times New Roman"/>
          <w:sz w:val="24"/>
          <w:szCs w:val="24"/>
          <w:lang w:eastAsia="it-IT"/>
        </w:rPr>
        <w:t>la Determinazione del Responsabile del II Settore avente ad oggetto: APPROVAZIONE AVVISO PUBBLICO per l’assegnazione ed il rilascio di concessione d’uso temporanea dei posteggi liberi in occasione delle seguenti fiere per l’anno 2026;</w:t>
      </w:r>
    </w:p>
    <w:p w14:paraId="6154731C" w14:textId="2A3B029D" w:rsidR="00DC4D45" w:rsidRDefault="00DC4D45" w:rsidP="00DC4D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4D4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RITENUTO </w:t>
      </w:r>
      <w:r w:rsidRPr="00DC4D45">
        <w:rPr>
          <w:rFonts w:ascii="Times New Roman" w:eastAsia="Times New Roman" w:hAnsi="Times New Roman" w:cs="Times New Roman"/>
          <w:sz w:val="24"/>
          <w:szCs w:val="24"/>
          <w:lang w:eastAsia="it-IT"/>
        </w:rPr>
        <w:t>necessario disciplinare l'afflusso degli operatori commerciali in occasione delle fiere e sagre previste nel territorio comunale per l’anno solare 2026;</w:t>
      </w:r>
    </w:p>
    <w:p w14:paraId="08FF9D37" w14:textId="77777777" w:rsidR="00BB2919" w:rsidRPr="00BB2919" w:rsidRDefault="00BB2919" w:rsidP="00BB29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RENDE NOTO</w:t>
      </w:r>
    </w:p>
    <w:p w14:paraId="513EFECD" w14:textId="6BDC4463" w:rsidR="00BB2919" w:rsidRPr="00BB2919" w:rsidRDefault="00BB2919" w:rsidP="00AF14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indetto l’Avviso Pubblico per l’assegnazione e il rilascio di concessioni d’uso temporanee dei posteggi liberi per le seguenti manifestazioni dell'anno </w:t>
      </w: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2026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2A731F93" w14:textId="77777777" w:rsidR="00AF14B1" w:rsidRDefault="00AF14B1" w:rsidP="00AF14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C1E4AC" w14:textId="28B1C348" w:rsidR="00BB2919" w:rsidRPr="00E44E00" w:rsidRDefault="00BB2919" w:rsidP="00E44E00">
      <w:pPr>
        <w:pStyle w:val="Paragrafoelenco"/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4E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ELENCO MANIFESTAZIONI E POSTEGGI</w:t>
      </w:r>
    </w:p>
    <w:p w14:paraId="416E9165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Fiera di San Cosimo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(un mese e due giorni dopo Pasqua)</w:t>
      </w:r>
    </w:p>
    <w:p w14:paraId="49CCB3B8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Via Torre S.S. (tratto Vico S. Pasquale - Via Botticelli):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118 posteggi (38 Alimentari, 80 Non Alimentari).</w:t>
      </w:r>
    </w:p>
    <w:p w14:paraId="4D17867D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Viale Grande Europa: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32 posteggi (2 Alimentari, 30 Non Alimentari).</w:t>
      </w:r>
    </w:p>
    <w:p w14:paraId="1A8F51CA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Sagra di San Cosimo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(un mese e due giorni dopo Pasqua)</w:t>
      </w:r>
    </w:p>
    <w:p w14:paraId="074166D6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Via D. Bonifacio, Piazza Lorch, Via M. Pagano: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 posteggi (22 Alimentari, 28 Non Alimentari).</w:t>
      </w:r>
    </w:p>
    <w:p w14:paraId="7312D8E9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Sagra della Madonna della Scala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(secondo giovedì dopo Pasqua)</w:t>
      </w:r>
    </w:p>
    <w:p w14:paraId="35185330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Contrada Madonna della Scala: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18 posteggi (8 Alimentari, 10 Non Alimentari).</w:t>
      </w:r>
    </w:p>
    <w:p w14:paraId="013C2BB0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Sagra di San Francesco di Paola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(seconda metà di aprile)</w:t>
      </w:r>
    </w:p>
    <w:p w14:paraId="7C64AAD8" w14:textId="77777777" w:rsid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Piazza </w:t>
      </w:r>
      <w:proofErr w:type="spellStart"/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Donnolo</w:t>
      </w:r>
      <w:proofErr w:type="spellEnd"/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 Via Dragonetti Bonifacio: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41 posteggi (16 Alimentari, 25 Non Alimentari).</w:t>
      </w:r>
    </w:p>
    <w:p w14:paraId="30BA8809" w14:textId="77777777" w:rsidR="00735719" w:rsidRPr="00BB2919" w:rsidRDefault="00735719" w:rsidP="0073571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FB0B3E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Sagra di Sant’Antonio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(12-13 giugno)</w:t>
      </w:r>
    </w:p>
    <w:p w14:paraId="05EB28C3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Via Annibale Maria Di Francia: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23 posteggi (7 Alimentari, 16 Non Alimentari).</w:t>
      </w:r>
    </w:p>
    <w:p w14:paraId="29876F26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Fiera della Maddalena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(21 luglio)</w:t>
      </w:r>
    </w:p>
    <w:p w14:paraId="4BBFC205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Via Torre S.S. (118 posteggi) e Viale Grande Europa (32 posteggi)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>: Ripartizione merceologica come punto 1.</w:t>
      </w:r>
    </w:p>
    <w:p w14:paraId="16832305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Sagra di San Lorenzo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(10 agosto)</w:t>
      </w:r>
    </w:p>
    <w:p w14:paraId="3FE32B31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Contrada San Lorenzo (prossimità Chiesetta):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46 posteggi (20 Alimentari, 26 Non Alimentari).</w:t>
      </w:r>
    </w:p>
    <w:p w14:paraId="08FCCF5F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Sagra della Madonna di </w:t>
      </w:r>
      <w:proofErr w:type="spellStart"/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Gallana</w:t>
      </w:r>
      <w:proofErr w:type="spellEnd"/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(14-15 agosto)</w:t>
      </w:r>
    </w:p>
    <w:p w14:paraId="65AC1772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Contrada </w:t>
      </w:r>
      <w:proofErr w:type="spellStart"/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Gallana</w:t>
      </w:r>
      <w:proofErr w:type="spellEnd"/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(prossimità Chiesetta):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 posteggi (12 Alimentari, 18 Non Alimentari).</w:t>
      </w:r>
    </w:p>
    <w:p w14:paraId="160C6980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Fiera di San Barsanofrio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(29 agosto)</w:t>
      </w:r>
    </w:p>
    <w:p w14:paraId="75381B5A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Via Torre S.S. e Viale Grande Europa: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Ripartizione merceologica come punto 1.</w:t>
      </w:r>
    </w:p>
    <w:p w14:paraId="047E5352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Sagra di San Barsanofrio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(29-30 agosto)</w:t>
      </w:r>
    </w:p>
    <w:p w14:paraId="7D4F1B92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Via D. Bonifacio, Piazza Lorch, Via M. Pagano: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 posteggi (22 Alimentari, 28 Non Alimentari).</w:t>
      </w:r>
    </w:p>
    <w:p w14:paraId="5EE1A560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Sagra dell’Uva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(prima decade di settembre)</w:t>
      </w:r>
    </w:p>
    <w:p w14:paraId="11923F1A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Piazza Lorch, Via M. Pagano, Via D. Bonifacio: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 posteggi (22 Alimentari, 28 Non Alimentari).</w:t>
      </w:r>
    </w:p>
    <w:p w14:paraId="328B7926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Sagra dei Santi Medici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(26 settembre)</w:t>
      </w:r>
    </w:p>
    <w:p w14:paraId="2BB38331" w14:textId="77777777" w:rsidR="00BB2919" w:rsidRPr="00BB2919" w:rsidRDefault="00BB2919" w:rsidP="00BB291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Contrada Tripoli (da SP 57 a </w:t>
      </w:r>
      <w:proofErr w:type="gramStart"/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C.da</w:t>
      </w:r>
      <w:proofErr w:type="gramEnd"/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Tripoli):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 posteggi (22 Alimentari, 28 Non Alimentari).</w:t>
      </w:r>
    </w:p>
    <w:p w14:paraId="20BCC738" w14:textId="77777777" w:rsidR="00BB2919" w:rsidRPr="00BB2919" w:rsidRDefault="00BB2919" w:rsidP="00BB29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Sagra “Ti la </w:t>
      </w:r>
      <w:proofErr w:type="spellStart"/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Sasizza</w:t>
      </w:r>
      <w:proofErr w:type="spellEnd"/>
      <w:r w:rsidRPr="00BB291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(seconda domenica di ottobre)</w:t>
      </w:r>
    </w:p>
    <w:p w14:paraId="1E7698A6" w14:textId="364ADA1F" w:rsidR="00E50010" w:rsidRPr="00BB2919" w:rsidRDefault="00BB2919" w:rsidP="00E5001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29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Area urbana (Via Francavilla e limitrofe):</w:t>
      </w:r>
      <w:r w:rsidRPr="00BB29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135 posteggi (62 Alimentari, 73 Non Alimentari).</w:t>
      </w:r>
    </w:p>
    <w:p w14:paraId="10DDBC90" w14:textId="6A165998" w:rsidR="00E50010" w:rsidRPr="00E50010" w:rsidRDefault="00E50010" w:rsidP="00AF14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0010">
        <w:rPr>
          <w:rFonts w:ascii="Times New Roman" w:eastAsia="Times New Roman" w:hAnsi="Times New Roman" w:cs="Times New Roman"/>
          <w:sz w:val="24"/>
          <w:szCs w:val="24"/>
          <w:lang w:eastAsia="it-IT"/>
        </w:rPr>
        <w:t>Le date indicate nel presente bando per le fiere e le sagre dell'anno 2026 sono da considerarsi meramente indicative. La fissazione definitiva dei giorni di svolgimento avverrà in conformità al calendario liturgico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50010">
        <w:rPr>
          <w:rFonts w:ascii="Times New Roman" w:eastAsia="Times New Roman" w:hAnsi="Times New Roman" w:cs="Times New Roman"/>
          <w:sz w:val="24"/>
          <w:szCs w:val="24"/>
          <w:lang w:eastAsia="it-IT"/>
        </w:rPr>
        <w:t>e alle esigenze di pubblica sicurezza o organizzative dell'Ente.</w:t>
      </w:r>
    </w:p>
    <w:p w14:paraId="060DC061" w14:textId="77777777" w:rsidR="00AF14B1" w:rsidRDefault="00AF14B1" w:rsidP="00AF1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D7467E2" w14:textId="1FA43051" w:rsidR="0081080B" w:rsidRDefault="00E44E00" w:rsidP="00E44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 </w:t>
      </w:r>
      <w:r w:rsidR="0081080B" w:rsidRPr="0081080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DI PARTECIPAZIONE</w:t>
      </w:r>
    </w:p>
    <w:p w14:paraId="2456031D" w14:textId="77777777" w:rsidR="00AF14B1" w:rsidRPr="0081080B" w:rsidRDefault="00AF14B1" w:rsidP="00AF1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5C20438" w14:textId="77777777" w:rsidR="0081080B" w:rsidRPr="0081080B" w:rsidRDefault="0081080B" w:rsidP="00AF14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08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Possono presentare domanda i soggetti in possesso dei requisiti morali e professionali ex art. 71 </w:t>
      </w:r>
      <w:proofErr w:type="spellStart"/>
      <w:r w:rsidRPr="0081080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8108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59/2010, appartenenti alle seguenti categorie:</w:t>
      </w:r>
    </w:p>
    <w:p w14:paraId="5F28BE3F" w14:textId="77777777" w:rsidR="0081080B" w:rsidRPr="0081080B" w:rsidRDefault="0081080B" w:rsidP="008108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080B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Operatori commerciali iscritti al Registro Imprese titolari di autorizzazione/SCIA per il commercio su aree pubbliche.</w:t>
      </w:r>
    </w:p>
    <w:p w14:paraId="391751ED" w14:textId="77777777" w:rsidR="0081080B" w:rsidRPr="0081080B" w:rsidRDefault="0081080B" w:rsidP="0081080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080B">
        <w:rPr>
          <w:rFonts w:ascii="Times New Roman" w:eastAsia="Times New Roman" w:hAnsi="Times New Roman" w:cs="Times New Roman"/>
          <w:sz w:val="24"/>
          <w:szCs w:val="24"/>
          <w:lang w:eastAsia="it-IT"/>
        </w:rPr>
        <w:t>Imprese artigiane iscritte all’Albo speciale C.C.I.A.A.</w:t>
      </w:r>
    </w:p>
    <w:p w14:paraId="629484B6" w14:textId="4C8B4EC5" w:rsidR="00417711" w:rsidRDefault="0081080B" w:rsidP="004177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108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Operatori delle opere d’arte e dell’ingegno creativo </w:t>
      </w:r>
      <w:r w:rsidR="00181A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81080B">
        <w:rPr>
          <w:rFonts w:ascii="Times New Roman" w:eastAsia="Times New Roman" w:hAnsi="Times New Roman" w:cs="Times New Roman"/>
          <w:sz w:val="24"/>
          <w:szCs w:val="24"/>
          <w:lang w:eastAsia="it-IT"/>
        </w:rPr>
        <w:t>hobbisti</w:t>
      </w:r>
      <w:r w:rsidR="00925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84C62">
        <w:rPr>
          <w:rFonts w:ascii="Times New Roman" w:eastAsia="Times New Roman" w:hAnsi="Times New Roman" w:cs="Times New Roman"/>
          <w:sz w:val="24"/>
          <w:szCs w:val="24"/>
          <w:lang w:eastAsia="it-IT"/>
        </w:rPr>
        <w:t>muniti di apposito tesserino</w:t>
      </w:r>
      <w:r w:rsidR="00C84C62" w:rsidRPr="0081080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0E8DF2A" w14:textId="21DE2740" w:rsidR="0081080B" w:rsidRPr="00417711" w:rsidRDefault="0081080B" w:rsidP="007B48D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7711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Regolarità Contributiva</w:t>
      </w:r>
      <w:r w:rsidRPr="004177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4177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richiedenti devono essere in regola con i pagamenti del Canone Unico Patrimoniale riferito alle edizioni precedenti. È ammessa la regolarizzazione contestuale alla domanda</w:t>
      </w:r>
    </w:p>
    <w:p w14:paraId="22C2C670" w14:textId="5FBF9654" w:rsidR="00E21B87" w:rsidRPr="00E21B87" w:rsidRDefault="00E44E00" w:rsidP="00E44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3. </w:t>
      </w:r>
      <w:r w:rsidR="00E21B87" w:rsidRPr="00E21B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MODALITÀ DI PRESENTAZIONE DELLA DOMANDA E RILASCIO TITOLO</w:t>
      </w:r>
    </w:p>
    <w:p w14:paraId="5E6C4F16" w14:textId="709BB88F" w:rsidR="00364C19" w:rsidRDefault="00E21B87" w:rsidP="00417711">
      <w:pPr>
        <w:tabs>
          <w:tab w:val="num" w:pos="567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istanze devono essere trasmesse esclusivamente tramite il portale telematico </w:t>
      </w:r>
      <w:r w:rsidRPr="00E21B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www.impresainungiorno.gov.it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, utilizzando la procedura dedicata al commercio temporaneo in occasione di fiere e sagre</w:t>
      </w:r>
      <w:r w:rsidR="003247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specificando 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analiticamente</w:t>
      </w:r>
      <w:r w:rsidR="003247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tutte le sagre e le fiere alle quali intendono partecipare nel corso dell’anno solare 2026.</w:t>
      </w:r>
      <w:r w:rsidR="003247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2479D"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 deve essere inviata</w:t>
      </w:r>
      <w:r w:rsidR="003247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2479D" w:rsidRPr="0032479D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32479D"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0 giorni prima della data fissata per la prima manifestazione a cui si intende aderire.</w:t>
      </w:r>
      <w:r w:rsidR="00364C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B51B900" w14:textId="77777777" w:rsidR="00417711" w:rsidRDefault="00417711" w:rsidP="00364C19">
      <w:p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0F7F4F" w14:textId="6F697D60" w:rsidR="00417711" w:rsidRPr="00E21B87" w:rsidRDefault="00E21B87" w:rsidP="00364C19">
      <w:p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364C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seguito dell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istruttoria favorevole, questo Ufficio procederà al rilascio di </w:t>
      </w:r>
      <w:r w:rsidRPr="00E21B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</w:t>
      </w:r>
      <w:r w:rsidR="00E44E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’</w:t>
      </w:r>
      <w:r w:rsidRPr="00E21B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unica autorizzazione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riporterà, in un apposito prospetto di dettaglio, 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elenco completo di tutte le fiere</w:t>
      </w:r>
      <w:r w:rsidR="00925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operatore è stato ammesso. Tale documento costituirà titolo autorizzativo per 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E21B8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intero calendario fieristico ivi specificato</w:t>
      </w:r>
      <w:r w:rsidR="00417711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validità condizionata al versamento del canone unico patrimoniale relativo all’evento di volta in volta previsto.</w:t>
      </w:r>
    </w:p>
    <w:p w14:paraId="7372D2DF" w14:textId="3E521F7A" w:rsidR="0072740B" w:rsidRPr="0072740B" w:rsidRDefault="0072740B" w:rsidP="0072740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Scadenze e Regolarizzazione: Il pagamento del Canone Unico Patrimoniale per ogni singola sagra o fiera indicata in autorizzazione dovrà essere effettuato e regolarizzato entro e non oltre </w:t>
      </w:r>
      <w:r w:rsidR="00BA0955"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BA0955">
        <w:rPr>
          <w:rFonts w:ascii="Times New Roman" w:eastAsia="Times New Roman" w:hAnsi="Times New Roman" w:cs="Times New Roman"/>
          <w:sz w:val="24"/>
          <w:szCs w:val="24"/>
          <w:lang w:eastAsia="it-IT"/>
        </w:rPr>
        <w:t>dieci</w:t>
      </w: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>) giorni precedenti 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>inizio di ciascun evento.</w:t>
      </w:r>
    </w:p>
    <w:p w14:paraId="76A8E067" w14:textId="420F6923" w:rsidR="0072740B" w:rsidRPr="0072740B" w:rsidRDefault="0072740B" w:rsidP="00F10E3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Verifiche</w:t>
      </w:r>
      <w:r w:rsidR="00C12F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</w:t>
      </w:r>
      <w:r w:rsidR="00C12F32" w:rsidRPr="00C12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esclusione</w:t>
      </w: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C12F32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>a mancata regolarizzazione del pagamento nei termini sopra indicati comporterà 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>impossibilità di occupare il posteggio per quella specifica manifestazione, pur restando valida 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72740B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autorizzazione per le fiere successive (previa regolarizzazione dei relativi pagamenti).</w:t>
      </w:r>
    </w:p>
    <w:p w14:paraId="419EF057" w14:textId="354A186E" w:rsidR="00DC4D45" w:rsidRPr="00181A42" w:rsidRDefault="009F3436" w:rsidP="00925477">
      <w:p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81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 domande presentate prima del presente avviso saranno ritenute comunque valide, previa regolarizzazione dell’eventuale bollo e/o allegati.</w:t>
      </w:r>
      <w:r w:rsidR="00AF14B1" w:rsidRPr="00181A4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81A42" w:rsidRPr="00181A42">
        <w:rPr>
          <w:rFonts w:ascii="Times New Roman" w:hAnsi="Times New Roman" w:cs="Times New Roman"/>
          <w:sz w:val="24"/>
          <w:szCs w:val="24"/>
        </w:rPr>
        <w:t>L’Ufficio si riserva la facoltà di valutare le istanze pervenute oltre i termini, esclusivamente in presenza di posti disponibili e compatibilmente con il carico di lavoro. Tali domande saranno prese in esame solo se inoltrate con un congruo</w:t>
      </w:r>
      <w:r w:rsidR="00181A42">
        <w:rPr>
          <w:rFonts w:ascii="Times New Roman" w:hAnsi="Times New Roman" w:cs="Times New Roman"/>
          <w:sz w:val="24"/>
          <w:szCs w:val="24"/>
        </w:rPr>
        <w:t xml:space="preserve"> e ragionevole</w:t>
      </w:r>
      <w:r w:rsidR="00181A42" w:rsidRPr="00181A42">
        <w:rPr>
          <w:rFonts w:ascii="Times New Roman" w:hAnsi="Times New Roman" w:cs="Times New Roman"/>
          <w:sz w:val="24"/>
          <w:szCs w:val="24"/>
        </w:rPr>
        <w:t xml:space="preserve"> anticipo rispetto alla data dell'evento.</w:t>
      </w:r>
    </w:p>
    <w:p w14:paraId="24D9216E" w14:textId="7D6C4241" w:rsidR="001B1A05" w:rsidRPr="00910252" w:rsidRDefault="00910252" w:rsidP="00B96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1025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CRITERI PER L’ASSEGNAZIONE DEI POSTEGGI</w:t>
      </w:r>
    </w:p>
    <w:p w14:paraId="59199959" w14:textId="77777777" w:rsidR="001B1A05" w:rsidRPr="00910252" w:rsidRDefault="001B1A05" w:rsidP="00851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32E7B6B" w14:textId="173534AC" w:rsidR="00575268" w:rsidRPr="00575268" w:rsidRDefault="00575268" w:rsidP="005752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268">
        <w:rPr>
          <w:rFonts w:ascii="Times New Roman" w:eastAsia="Times New Roman" w:hAnsi="Times New Roman" w:cs="Times New Roman"/>
          <w:sz w:val="24"/>
          <w:szCs w:val="24"/>
          <w:lang w:eastAsia="it-IT"/>
        </w:rPr>
        <w:t>Per 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575268">
        <w:rPr>
          <w:rFonts w:ascii="Times New Roman" w:eastAsia="Times New Roman" w:hAnsi="Times New Roman" w:cs="Times New Roman"/>
          <w:sz w:val="24"/>
          <w:szCs w:val="24"/>
          <w:lang w:eastAsia="it-IT"/>
        </w:rPr>
        <w:t>assegnazione dei posteggi disponibili, il Comune terrà conto dei seguenti criteri in ordine di priorità:</w:t>
      </w:r>
    </w:p>
    <w:p w14:paraId="5941A68A" w14:textId="7AC9F258" w:rsidR="00575268" w:rsidRPr="00575268" w:rsidRDefault="00575268" w:rsidP="0057526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268">
        <w:rPr>
          <w:rFonts w:ascii="Times New Roman" w:eastAsia="Times New Roman" w:hAnsi="Times New Roman" w:cs="Times New Roman"/>
          <w:sz w:val="24"/>
          <w:szCs w:val="24"/>
          <w:lang w:eastAsia="it-IT"/>
        </w:rPr>
        <w:t>Maggiore numero di presenze effettive maturate dall</w:t>
      </w:r>
      <w:r w:rsidR="00E44E0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575268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operatore nella specifica fiera/sagra;</w:t>
      </w:r>
    </w:p>
    <w:p w14:paraId="469EE0E9" w14:textId="77777777" w:rsidR="00575268" w:rsidRPr="00575268" w:rsidRDefault="00575268" w:rsidP="0057526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268">
        <w:rPr>
          <w:rFonts w:ascii="Times New Roman" w:eastAsia="Times New Roman" w:hAnsi="Times New Roman" w:cs="Times New Roman"/>
          <w:sz w:val="24"/>
          <w:szCs w:val="24"/>
          <w:lang w:eastAsia="it-IT"/>
        </w:rPr>
        <w:t>Anzianità di iscrizione nel Registro delle Imprese;</w:t>
      </w:r>
    </w:p>
    <w:p w14:paraId="5827303F" w14:textId="77777777" w:rsidR="00575268" w:rsidRPr="00575268" w:rsidRDefault="00575268" w:rsidP="0057526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268">
        <w:rPr>
          <w:rFonts w:ascii="Times New Roman" w:eastAsia="Times New Roman" w:hAnsi="Times New Roman" w:cs="Times New Roman"/>
          <w:sz w:val="24"/>
          <w:szCs w:val="24"/>
          <w:lang w:eastAsia="it-IT"/>
        </w:rPr>
        <w:t>Ordine cronologico di presentazione (data e ora di spedizione della domanda).</w:t>
      </w:r>
    </w:p>
    <w:p w14:paraId="26B7AB62" w14:textId="77777777" w:rsidR="00575268" w:rsidRDefault="00575268" w:rsidP="005752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72C669" w14:textId="78C931BC" w:rsidR="00575268" w:rsidRPr="00575268" w:rsidRDefault="00575268" w:rsidP="005752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752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saranno prese in considerazione e saranno archiviate le domande presentate con modalità diverse da quelle sopra elencate. Per informazioni, rivolgersi all’Ufficio SUAP: Tel. 0831 – 846515/ </w:t>
      </w:r>
      <w:r w:rsidR="00CB267F">
        <w:rPr>
          <w:rFonts w:ascii="Times New Roman" w:eastAsia="Times New Roman" w:hAnsi="Times New Roman" w:cs="Times New Roman"/>
          <w:sz w:val="24"/>
          <w:szCs w:val="24"/>
          <w:lang w:eastAsia="it-IT"/>
        </w:rPr>
        <w:t>846514/</w:t>
      </w:r>
      <w:r w:rsidR="00925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75268">
        <w:rPr>
          <w:rFonts w:ascii="Times New Roman" w:eastAsia="Times New Roman" w:hAnsi="Times New Roman" w:cs="Times New Roman"/>
          <w:sz w:val="24"/>
          <w:szCs w:val="24"/>
          <w:lang w:eastAsia="it-IT"/>
        </w:rPr>
        <w:t>846535.</w:t>
      </w:r>
    </w:p>
    <w:p w14:paraId="62CAE307" w14:textId="77777777" w:rsidR="00BF0AA0" w:rsidRPr="00575268" w:rsidRDefault="00BF0AA0" w:rsidP="00DE42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6340BF" w14:textId="7635B66B" w:rsidR="00BF0AA0" w:rsidRPr="00E44E00" w:rsidRDefault="00E50010" w:rsidP="00E44E00">
      <w:pPr>
        <w:pStyle w:val="Paragrafoelenco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44E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TRATTAMENTO DEI DATI PERSONALI</w:t>
      </w:r>
    </w:p>
    <w:p w14:paraId="40CA1A67" w14:textId="77777777" w:rsidR="00851F63" w:rsidRDefault="00851F63" w:rsidP="00851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13A8CDF" w14:textId="77777777" w:rsidR="00F94F1B" w:rsidRDefault="00F94F1B" w:rsidP="00851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C16F9BB" w14:textId="44E767EA" w:rsidR="00F94F1B" w:rsidRPr="00F94F1B" w:rsidRDefault="00F94F1B" w:rsidP="00F94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13 e 14 del Regolamento UE 2016/679 (GDPR) e del D.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t>Lgs. 196/2003 (come modificato dal D.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t>Lgs. 101/2018), si informa che:</w:t>
      </w:r>
    </w:p>
    <w:p w14:paraId="34D881F7" w14:textId="19833C57" w:rsidR="00F94F1B" w:rsidRPr="00F94F1B" w:rsidRDefault="00F94F1B" w:rsidP="00F94F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Titolare del trattamento: Il Titolare è il Comune di Oria, con sede in via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Epitaffio n. 1;</w:t>
      </w:r>
    </w:p>
    <w:p w14:paraId="3C0650AA" w14:textId="24095BBF" w:rsidR="00F94F1B" w:rsidRPr="00F94F1B" w:rsidRDefault="00F94F1B" w:rsidP="00F94F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t>Finalità e base giuridica: I dati personali forniti dai richiedenti saranno raccolti e trattati esclusivamente per le finalità connesse alla gestione della presente procedura di assegnazione aree e per i successivi adempimenti di legge. Il trattamento è necessario per l'esecuzione di un compito di interesse pubblico o connesso all'esercizio di pubblici poteri di cui è investito il Titolare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9516385" w14:textId="77777777" w:rsidR="00F94F1B" w:rsidRPr="00F94F1B" w:rsidRDefault="00F94F1B" w:rsidP="00F94F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t>Natura del conferimento: Il conferimento dei dati è obbligatorio per l'instaurazione del procedimento. Il mancato o parziale conferimento comporterà l'impossibilità di valutare la domanda e la conseguente esclusione dalla procedura.</w:t>
      </w:r>
    </w:p>
    <w:p w14:paraId="2263D663" w14:textId="77777777" w:rsidR="00F94F1B" w:rsidRPr="00F94F1B" w:rsidRDefault="00F94F1B" w:rsidP="00F94F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 di trattamento: Il trattamento avverrà nel rispetto dei principi di liceità, correttezza e trasparenza, mediante l'ausilio di strumenti cartacei e informatici idonei a garantire la sicurezza e la riservatezza dei dati.</w:t>
      </w:r>
    </w:p>
    <w:p w14:paraId="6B244B1C" w14:textId="77777777" w:rsidR="00F94F1B" w:rsidRPr="00F94F1B" w:rsidRDefault="00F94F1B" w:rsidP="00F94F1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Diritti dell’interessato: In ogni momento, l’interessato potrà esercitare i diritti previsti dagli artt. 15 e seguenti del GDPR (accesso, rettifica, cancellazione, limitazione e opposizione al trattamento) rivolgendosi al Titolare o al Responsabile della Protezione dei Dati (DPO). </w:t>
      </w:r>
      <w:r w:rsidRPr="00F94F1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L'interessato ha inoltre il diritto di proporre reclamo all’Autorità Garante per la Protezione dei Dati Personali.</w:t>
      </w:r>
    </w:p>
    <w:p w14:paraId="689EC503" w14:textId="77777777" w:rsidR="00F94F1B" w:rsidRDefault="00F94F1B" w:rsidP="00851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E59DE2B" w14:textId="7709C290" w:rsidR="00DE4202" w:rsidRPr="00DE4202" w:rsidRDefault="00DE4202" w:rsidP="00DE42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420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</w:t>
      </w:r>
    </w:p>
    <w:p w14:paraId="60C30A7D" w14:textId="679D3C8B" w:rsidR="00DE4202" w:rsidRPr="00DE4202" w:rsidRDefault="00B967C8" w:rsidP="00DE420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Responsabile del Settore</w:t>
      </w:r>
    </w:p>
    <w:p w14:paraId="27831E7A" w14:textId="26983C46" w:rsidR="00F65616" w:rsidRPr="00F65616" w:rsidRDefault="00DE4202" w:rsidP="00F656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420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Pr="00DE420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Pr="00DE420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Pr="00DE420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Pr="00DE420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Pr="00DE420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  <w:t xml:space="preserve">                               </w:t>
      </w:r>
    </w:p>
    <w:sectPr w:rsidR="00F65616" w:rsidRPr="00F65616" w:rsidSect="0073571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6CBD" w14:textId="77777777" w:rsidR="007A6307" w:rsidRDefault="007A6307" w:rsidP="002860A9">
      <w:pPr>
        <w:spacing w:after="0" w:line="240" w:lineRule="auto"/>
      </w:pPr>
      <w:r>
        <w:separator/>
      </w:r>
    </w:p>
  </w:endnote>
  <w:endnote w:type="continuationSeparator" w:id="0">
    <w:p w14:paraId="745EFADD" w14:textId="77777777" w:rsidR="007A6307" w:rsidRDefault="007A6307" w:rsidP="0028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8520" w14:textId="77777777" w:rsidR="007A6307" w:rsidRDefault="007A6307" w:rsidP="002860A9">
      <w:pPr>
        <w:spacing w:after="0" w:line="240" w:lineRule="auto"/>
      </w:pPr>
      <w:r>
        <w:separator/>
      </w:r>
    </w:p>
  </w:footnote>
  <w:footnote w:type="continuationSeparator" w:id="0">
    <w:p w14:paraId="3FFC94FF" w14:textId="77777777" w:rsidR="007A6307" w:rsidRDefault="007A6307" w:rsidP="0028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49B"/>
    <w:multiLevelType w:val="hybridMultilevel"/>
    <w:tmpl w:val="8162EFA8"/>
    <w:lvl w:ilvl="0" w:tplc="414EBED4">
      <w:start w:val="6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3F92"/>
    <w:multiLevelType w:val="hybridMultilevel"/>
    <w:tmpl w:val="074C6F04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7FA31E8"/>
    <w:multiLevelType w:val="multilevel"/>
    <w:tmpl w:val="BB4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1047F"/>
    <w:multiLevelType w:val="hybridMultilevel"/>
    <w:tmpl w:val="9FD4FE76"/>
    <w:lvl w:ilvl="0" w:tplc="48B6F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0C75"/>
    <w:multiLevelType w:val="hybridMultilevel"/>
    <w:tmpl w:val="75E42A80"/>
    <w:lvl w:ilvl="0" w:tplc="E018B7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577"/>
    <w:multiLevelType w:val="hybridMultilevel"/>
    <w:tmpl w:val="9C3AD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2E1D"/>
    <w:multiLevelType w:val="hybridMultilevel"/>
    <w:tmpl w:val="1E842CC6"/>
    <w:lvl w:ilvl="0" w:tplc="72B065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51685"/>
    <w:multiLevelType w:val="multilevel"/>
    <w:tmpl w:val="30F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1348F"/>
    <w:multiLevelType w:val="hybridMultilevel"/>
    <w:tmpl w:val="38CC6212"/>
    <w:lvl w:ilvl="0" w:tplc="7AA8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583B"/>
    <w:multiLevelType w:val="hybridMultilevel"/>
    <w:tmpl w:val="9252C1D6"/>
    <w:lvl w:ilvl="0" w:tplc="0E6E05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7677"/>
    <w:multiLevelType w:val="multilevel"/>
    <w:tmpl w:val="E6F0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E6DA5"/>
    <w:multiLevelType w:val="hybridMultilevel"/>
    <w:tmpl w:val="CAE2EF36"/>
    <w:lvl w:ilvl="0" w:tplc="B07ABA9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550DB"/>
    <w:multiLevelType w:val="multilevel"/>
    <w:tmpl w:val="9782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50CA0"/>
    <w:multiLevelType w:val="multilevel"/>
    <w:tmpl w:val="F9B8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200B9"/>
    <w:multiLevelType w:val="hybridMultilevel"/>
    <w:tmpl w:val="C97E7FD8"/>
    <w:lvl w:ilvl="0" w:tplc="DAEE865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848D6"/>
    <w:multiLevelType w:val="multilevel"/>
    <w:tmpl w:val="F03A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06C00"/>
    <w:multiLevelType w:val="hybridMultilevel"/>
    <w:tmpl w:val="C57E0490"/>
    <w:lvl w:ilvl="0" w:tplc="987C66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50AC7"/>
    <w:multiLevelType w:val="hybridMultilevel"/>
    <w:tmpl w:val="33469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E6231"/>
    <w:multiLevelType w:val="hybridMultilevel"/>
    <w:tmpl w:val="BA34C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B17F8"/>
    <w:multiLevelType w:val="hybridMultilevel"/>
    <w:tmpl w:val="411E9C62"/>
    <w:lvl w:ilvl="0" w:tplc="6714D22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7114AB"/>
    <w:multiLevelType w:val="multilevel"/>
    <w:tmpl w:val="309E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0342A8"/>
    <w:multiLevelType w:val="multilevel"/>
    <w:tmpl w:val="F8D4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312DCC"/>
    <w:multiLevelType w:val="hybridMultilevel"/>
    <w:tmpl w:val="DE1207D0"/>
    <w:lvl w:ilvl="0" w:tplc="5DFE6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C16FD"/>
    <w:multiLevelType w:val="hybridMultilevel"/>
    <w:tmpl w:val="2014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600EA"/>
    <w:multiLevelType w:val="hybridMultilevel"/>
    <w:tmpl w:val="71C88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1135C"/>
    <w:multiLevelType w:val="multilevel"/>
    <w:tmpl w:val="D784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687C5C"/>
    <w:multiLevelType w:val="multilevel"/>
    <w:tmpl w:val="4AB2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C1A36"/>
    <w:multiLevelType w:val="hybridMultilevel"/>
    <w:tmpl w:val="8D3EEB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4F66B0"/>
    <w:multiLevelType w:val="hybridMultilevel"/>
    <w:tmpl w:val="822EA91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D86666"/>
    <w:multiLevelType w:val="hybridMultilevel"/>
    <w:tmpl w:val="26E0D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B5FCE"/>
    <w:multiLevelType w:val="hybridMultilevel"/>
    <w:tmpl w:val="4C8A9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0395">
    <w:abstractNumId w:val="23"/>
  </w:num>
  <w:num w:numId="2" w16cid:durableId="1197936889">
    <w:abstractNumId w:val="24"/>
  </w:num>
  <w:num w:numId="3" w16cid:durableId="1466503757">
    <w:abstractNumId w:val="19"/>
  </w:num>
  <w:num w:numId="4" w16cid:durableId="1644845949">
    <w:abstractNumId w:val="19"/>
  </w:num>
  <w:num w:numId="5" w16cid:durableId="608320380">
    <w:abstractNumId w:val="1"/>
  </w:num>
  <w:num w:numId="6" w16cid:durableId="611279563">
    <w:abstractNumId w:val="30"/>
  </w:num>
  <w:num w:numId="7" w16cid:durableId="743911246">
    <w:abstractNumId w:val="16"/>
  </w:num>
  <w:num w:numId="8" w16cid:durableId="1099105067">
    <w:abstractNumId w:val="17"/>
  </w:num>
  <w:num w:numId="9" w16cid:durableId="225383977">
    <w:abstractNumId w:val="22"/>
  </w:num>
  <w:num w:numId="10" w16cid:durableId="284435347">
    <w:abstractNumId w:val="28"/>
  </w:num>
  <w:num w:numId="11" w16cid:durableId="451366500">
    <w:abstractNumId w:val="5"/>
  </w:num>
  <w:num w:numId="12" w16cid:durableId="1563296852">
    <w:abstractNumId w:val="20"/>
  </w:num>
  <w:num w:numId="13" w16cid:durableId="1712150022">
    <w:abstractNumId w:val="8"/>
  </w:num>
  <w:num w:numId="14" w16cid:durableId="1494103446">
    <w:abstractNumId w:val="29"/>
  </w:num>
  <w:num w:numId="15" w16cid:durableId="186219063">
    <w:abstractNumId w:val="27"/>
  </w:num>
  <w:num w:numId="16" w16cid:durableId="344671006">
    <w:abstractNumId w:val="0"/>
  </w:num>
  <w:num w:numId="17" w16cid:durableId="301738934">
    <w:abstractNumId w:val="3"/>
  </w:num>
  <w:num w:numId="18" w16cid:durableId="1357657506">
    <w:abstractNumId w:val="6"/>
  </w:num>
  <w:num w:numId="19" w16cid:durableId="1097991353">
    <w:abstractNumId w:val="14"/>
  </w:num>
  <w:num w:numId="20" w16cid:durableId="785975304">
    <w:abstractNumId w:val="11"/>
  </w:num>
  <w:num w:numId="21" w16cid:durableId="764886312">
    <w:abstractNumId w:val="4"/>
  </w:num>
  <w:num w:numId="22" w16cid:durableId="1049691192">
    <w:abstractNumId w:val="9"/>
  </w:num>
  <w:num w:numId="23" w16cid:durableId="489373738">
    <w:abstractNumId w:val="18"/>
  </w:num>
  <w:num w:numId="24" w16cid:durableId="369959912">
    <w:abstractNumId w:val="13"/>
  </w:num>
  <w:num w:numId="25" w16cid:durableId="666519930">
    <w:abstractNumId w:val="12"/>
  </w:num>
  <w:num w:numId="26" w16cid:durableId="1845824988">
    <w:abstractNumId w:val="2"/>
  </w:num>
  <w:num w:numId="27" w16cid:durableId="193537400">
    <w:abstractNumId w:val="15"/>
  </w:num>
  <w:num w:numId="28" w16cid:durableId="1798640397">
    <w:abstractNumId w:val="7"/>
  </w:num>
  <w:num w:numId="29" w16cid:durableId="822425922">
    <w:abstractNumId w:val="21"/>
  </w:num>
  <w:num w:numId="30" w16cid:durableId="1678573661">
    <w:abstractNumId w:val="26"/>
  </w:num>
  <w:num w:numId="31" w16cid:durableId="1456828457">
    <w:abstractNumId w:val="10"/>
  </w:num>
  <w:num w:numId="32" w16cid:durableId="2865945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23"/>
    <w:rsid w:val="00014E59"/>
    <w:rsid w:val="0007166D"/>
    <w:rsid w:val="000758AA"/>
    <w:rsid w:val="00091E7B"/>
    <w:rsid w:val="000D254B"/>
    <w:rsid w:val="000D550B"/>
    <w:rsid w:val="000F2FF1"/>
    <w:rsid w:val="000F3E89"/>
    <w:rsid w:val="001066CC"/>
    <w:rsid w:val="001251BD"/>
    <w:rsid w:val="00130FCB"/>
    <w:rsid w:val="001405E8"/>
    <w:rsid w:val="00140713"/>
    <w:rsid w:val="00143AA7"/>
    <w:rsid w:val="00170143"/>
    <w:rsid w:val="00172F00"/>
    <w:rsid w:val="00181A42"/>
    <w:rsid w:val="0019284D"/>
    <w:rsid w:val="001B1A05"/>
    <w:rsid w:val="001E474F"/>
    <w:rsid w:val="001F4A5E"/>
    <w:rsid w:val="001F5316"/>
    <w:rsid w:val="00234568"/>
    <w:rsid w:val="002350E2"/>
    <w:rsid w:val="0027780A"/>
    <w:rsid w:val="002860A9"/>
    <w:rsid w:val="00293F9A"/>
    <w:rsid w:val="002B54E0"/>
    <w:rsid w:val="002F1805"/>
    <w:rsid w:val="00307035"/>
    <w:rsid w:val="00316C23"/>
    <w:rsid w:val="0032479D"/>
    <w:rsid w:val="003401B4"/>
    <w:rsid w:val="00353B33"/>
    <w:rsid w:val="00355251"/>
    <w:rsid w:val="00364C19"/>
    <w:rsid w:val="00375371"/>
    <w:rsid w:val="0038200F"/>
    <w:rsid w:val="0038607E"/>
    <w:rsid w:val="003928E7"/>
    <w:rsid w:val="003A29EE"/>
    <w:rsid w:val="003E430E"/>
    <w:rsid w:val="00413033"/>
    <w:rsid w:val="00417711"/>
    <w:rsid w:val="0045406D"/>
    <w:rsid w:val="00470890"/>
    <w:rsid w:val="00476ADB"/>
    <w:rsid w:val="00497068"/>
    <w:rsid w:val="004A0099"/>
    <w:rsid w:val="004B69F3"/>
    <w:rsid w:val="00515342"/>
    <w:rsid w:val="00522833"/>
    <w:rsid w:val="0053576E"/>
    <w:rsid w:val="005436B9"/>
    <w:rsid w:val="00543CC2"/>
    <w:rsid w:val="005648F6"/>
    <w:rsid w:val="005733B6"/>
    <w:rsid w:val="00575268"/>
    <w:rsid w:val="00581A86"/>
    <w:rsid w:val="005962D4"/>
    <w:rsid w:val="005B15E6"/>
    <w:rsid w:val="005B1C68"/>
    <w:rsid w:val="005C2D3B"/>
    <w:rsid w:val="005F2251"/>
    <w:rsid w:val="0062593E"/>
    <w:rsid w:val="00650F89"/>
    <w:rsid w:val="00653C82"/>
    <w:rsid w:val="00683512"/>
    <w:rsid w:val="00684694"/>
    <w:rsid w:val="006C5DEF"/>
    <w:rsid w:val="006D54BA"/>
    <w:rsid w:val="006D73FB"/>
    <w:rsid w:val="006E786B"/>
    <w:rsid w:val="006F1C3A"/>
    <w:rsid w:val="006F3D5D"/>
    <w:rsid w:val="00707125"/>
    <w:rsid w:val="0072740B"/>
    <w:rsid w:val="00735719"/>
    <w:rsid w:val="00735F36"/>
    <w:rsid w:val="00737EA8"/>
    <w:rsid w:val="00756465"/>
    <w:rsid w:val="007A3E0A"/>
    <w:rsid w:val="007A4B4E"/>
    <w:rsid w:val="007A6307"/>
    <w:rsid w:val="007B48D7"/>
    <w:rsid w:val="007B5F61"/>
    <w:rsid w:val="007D3C87"/>
    <w:rsid w:val="007F6066"/>
    <w:rsid w:val="0081080B"/>
    <w:rsid w:val="00813AE5"/>
    <w:rsid w:val="00825F32"/>
    <w:rsid w:val="00851F63"/>
    <w:rsid w:val="00855F28"/>
    <w:rsid w:val="00870662"/>
    <w:rsid w:val="008853B9"/>
    <w:rsid w:val="008854DA"/>
    <w:rsid w:val="00886F2C"/>
    <w:rsid w:val="008A7850"/>
    <w:rsid w:val="008B4B51"/>
    <w:rsid w:val="008C04D5"/>
    <w:rsid w:val="008D46B7"/>
    <w:rsid w:val="008D5BD7"/>
    <w:rsid w:val="008E36B4"/>
    <w:rsid w:val="008E7D75"/>
    <w:rsid w:val="00910252"/>
    <w:rsid w:val="00925477"/>
    <w:rsid w:val="00940AD5"/>
    <w:rsid w:val="009511E3"/>
    <w:rsid w:val="00962974"/>
    <w:rsid w:val="00964A48"/>
    <w:rsid w:val="00973956"/>
    <w:rsid w:val="009837FB"/>
    <w:rsid w:val="00992063"/>
    <w:rsid w:val="009B0B15"/>
    <w:rsid w:val="009B745B"/>
    <w:rsid w:val="009C0106"/>
    <w:rsid w:val="009C636D"/>
    <w:rsid w:val="009D5280"/>
    <w:rsid w:val="009E39C7"/>
    <w:rsid w:val="009F3436"/>
    <w:rsid w:val="009F3F77"/>
    <w:rsid w:val="00A01DE4"/>
    <w:rsid w:val="00A10678"/>
    <w:rsid w:val="00A60EEA"/>
    <w:rsid w:val="00A8799A"/>
    <w:rsid w:val="00AB1629"/>
    <w:rsid w:val="00AB3290"/>
    <w:rsid w:val="00AB520C"/>
    <w:rsid w:val="00AD58C6"/>
    <w:rsid w:val="00AF14B1"/>
    <w:rsid w:val="00B30D53"/>
    <w:rsid w:val="00B56B96"/>
    <w:rsid w:val="00B57E72"/>
    <w:rsid w:val="00B61AF2"/>
    <w:rsid w:val="00B64350"/>
    <w:rsid w:val="00B658E7"/>
    <w:rsid w:val="00B92925"/>
    <w:rsid w:val="00B967C8"/>
    <w:rsid w:val="00BA0955"/>
    <w:rsid w:val="00BB2919"/>
    <w:rsid w:val="00BB792B"/>
    <w:rsid w:val="00BF0AA0"/>
    <w:rsid w:val="00C018E2"/>
    <w:rsid w:val="00C12F32"/>
    <w:rsid w:val="00C2222A"/>
    <w:rsid w:val="00C2711F"/>
    <w:rsid w:val="00C55D0A"/>
    <w:rsid w:val="00C84C62"/>
    <w:rsid w:val="00CB267F"/>
    <w:rsid w:val="00CE38DC"/>
    <w:rsid w:val="00CE6316"/>
    <w:rsid w:val="00D376BC"/>
    <w:rsid w:val="00D950B2"/>
    <w:rsid w:val="00DB017A"/>
    <w:rsid w:val="00DB038B"/>
    <w:rsid w:val="00DC4D45"/>
    <w:rsid w:val="00DE4202"/>
    <w:rsid w:val="00DE5543"/>
    <w:rsid w:val="00DE58B9"/>
    <w:rsid w:val="00E043BE"/>
    <w:rsid w:val="00E141D8"/>
    <w:rsid w:val="00E17C1F"/>
    <w:rsid w:val="00E21B87"/>
    <w:rsid w:val="00E25B35"/>
    <w:rsid w:val="00E4066D"/>
    <w:rsid w:val="00E43C19"/>
    <w:rsid w:val="00E44E00"/>
    <w:rsid w:val="00E47C05"/>
    <w:rsid w:val="00E50010"/>
    <w:rsid w:val="00E54A19"/>
    <w:rsid w:val="00E64177"/>
    <w:rsid w:val="00E81D62"/>
    <w:rsid w:val="00EB3750"/>
    <w:rsid w:val="00EC489F"/>
    <w:rsid w:val="00ED0809"/>
    <w:rsid w:val="00EE434C"/>
    <w:rsid w:val="00EE61E3"/>
    <w:rsid w:val="00EF062A"/>
    <w:rsid w:val="00F053D0"/>
    <w:rsid w:val="00F32D0A"/>
    <w:rsid w:val="00F40678"/>
    <w:rsid w:val="00F538F2"/>
    <w:rsid w:val="00F65616"/>
    <w:rsid w:val="00F77EE0"/>
    <w:rsid w:val="00F943B9"/>
    <w:rsid w:val="00F94F1B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36F0"/>
  <w15:chartTrackingRefBased/>
  <w15:docId w15:val="{81C4042C-EF7A-4895-8AF2-0A68C85A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10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5DEF"/>
    <w:pPr>
      <w:ind w:left="720"/>
      <w:contextualSpacing/>
    </w:pPr>
  </w:style>
  <w:style w:type="character" w:customStyle="1" w:styleId="etichetta">
    <w:name w:val="etichetta"/>
    <w:basedOn w:val="Carpredefinitoparagrafo"/>
    <w:rsid w:val="00EF062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60A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60A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60A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55D0A"/>
    <w:rPr>
      <w:color w:val="0563C1" w:themeColor="hyperlink"/>
      <w:u w:val="single"/>
    </w:rPr>
  </w:style>
  <w:style w:type="character" w:customStyle="1" w:styleId="ewtableheadercaption">
    <w:name w:val="ewtableheadercaption"/>
    <w:basedOn w:val="Carpredefinitoparagrafo"/>
    <w:rsid w:val="00756465"/>
  </w:style>
  <w:style w:type="character" w:styleId="Collegamentovisitato">
    <w:name w:val="FollowedHyperlink"/>
    <w:basedOn w:val="Carpredefinitoparagrafo"/>
    <w:uiPriority w:val="99"/>
    <w:semiHidden/>
    <w:unhideWhenUsed/>
    <w:rsid w:val="00EE61E3"/>
    <w:rPr>
      <w:color w:val="954F72" w:themeColor="followedHyperlink"/>
      <w:u w:val="single"/>
    </w:rPr>
  </w:style>
  <w:style w:type="character" w:customStyle="1" w:styleId="font">
    <w:name w:val="font"/>
    <w:basedOn w:val="Carpredefinitoparagrafo"/>
    <w:rsid w:val="00E25B35"/>
  </w:style>
  <w:style w:type="character" w:customStyle="1" w:styleId="size">
    <w:name w:val="size"/>
    <w:basedOn w:val="Carpredefinitoparagrafo"/>
    <w:rsid w:val="00E25B35"/>
  </w:style>
  <w:style w:type="paragraph" w:styleId="NormaleWeb">
    <w:name w:val="Normal (Web)"/>
    <w:basedOn w:val="Normale"/>
    <w:uiPriority w:val="99"/>
    <w:semiHidden/>
    <w:unhideWhenUsed/>
    <w:rsid w:val="00825F3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56B9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B5F6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5F61"/>
    <w:rPr>
      <w:rFonts w:ascii="Trebuchet MS" w:eastAsia="Trebuchet MS" w:hAnsi="Trebuchet MS" w:cs="Trebuchet MS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420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080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F507-AF9E-4870-946E-A216504C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2025-01-10T09:26:00Z</cp:lastPrinted>
  <dcterms:created xsi:type="dcterms:W3CDTF">2026-03-23T10:54:00Z</dcterms:created>
  <dcterms:modified xsi:type="dcterms:W3CDTF">2026-03-24T08:45:00Z</dcterms:modified>
</cp:coreProperties>
</file>